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02.07.2024 г. по 10.07.2024 г. будет проведено общественное обсуждение проекта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наркомании на территории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наркомании на территории Черниговского муниципального округа на 2024 - 2030 годы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Разработчиком проекта постановления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программы «</w:t>
      </w:r>
      <w:bookmarkStart w:id="0" w:name="__DdeLink__41_3850339051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Профилактика наркомании на территории Черниговского муниципального округа на 2024 - 2030 годы</w:t>
      </w:r>
      <w:bookmarkEnd w:id="0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99</Words>
  <Characters>745</Characters>
  <CharactersWithSpaces>840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2024-07-01T14:37:01Z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