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20" w:rsidRDefault="000C7120" w:rsidP="000C7120">
      <w:pPr>
        <w:ind w:right="-284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86740" cy="79375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120" w:rsidRDefault="000C7120" w:rsidP="000C7120">
      <w:pPr>
        <w:jc w:val="center"/>
        <w:rPr>
          <w:b/>
          <w:color w:val="000000"/>
          <w:sz w:val="32"/>
          <w:szCs w:val="32"/>
        </w:rPr>
      </w:pPr>
    </w:p>
    <w:p w:rsidR="000C7120" w:rsidRDefault="000C7120" w:rsidP="000C712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 Черниговского района</w:t>
      </w:r>
    </w:p>
    <w:p w:rsidR="000C7120" w:rsidRDefault="000C7120" w:rsidP="000C7120">
      <w:pPr>
        <w:jc w:val="both"/>
        <w:rPr>
          <w:color w:val="000000"/>
          <w:sz w:val="32"/>
          <w:szCs w:val="32"/>
        </w:rPr>
      </w:pPr>
    </w:p>
    <w:p w:rsidR="000C7120" w:rsidRDefault="000C7120" w:rsidP="000C7120">
      <w:pPr>
        <w:jc w:val="both"/>
        <w:rPr>
          <w:color w:val="000000"/>
          <w:sz w:val="32"/>
          <w:szCs w:val="32"/>
        </w:rPr>
      </w:pPr>
    </w:p>
    <w:p w:rsidR="000C7120" w:rsidRDefault="000C7120" w:rsidP="000C712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0C7120" w:rsidRDefault="000C7120" w:rsidP="000C7120">
      <w:pPr>
        <w:jc w:val="center"/>
        <w:rPr>
          <w:color w:val="000000"/>
          <w:sz w:val="28"/>
          <w:szCs w:val="28"/>
        </w:rPr>
      </w:pPr>
    </w:p>
    <w:p w:rsidR="000C7120" w:rsidRDefault="000C7120" w:rsidP="000C7120">
      <w:pPr>
        <w:jc w:val="center"/>
        <w:rPr>
          <w:color w:val="000000"/>
          <w:sz w:val="28"/>
          <w:szCs w:val="28"/>
        </w:rPr>
      </w:pPr>
    </w:p>
    <w:p w:rsidR="000C7120" w:rsidRDefault="0042030C" w:rsidP="0042030C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10.02</w:t>
      </w:r>
      <w:r w:rsidR="000C7120">
        <w:rPr>
          <w:b/>
          <w:color w:val="000000"/>
          <w:sz w:val="28"/>
          <w:szCs w:val="28"/>
        </w:rPr>
        <w:t xml:space="preserve">.2020                                  </w:t>
      </w:r>
      <w:proofErr w:type="gramStart"/>
      <w:r w:rsidR="000C7120">
        <w:rPr>
          <w:b/>
          <w:color w:val="000000"/>
          <w:sz w:val="28"/>
          <w:szCs w:val="28"/>
        </w:rPr>
        <w:t>с</w:t>
      </w:r>
      <w:proofErr w:type="gramEnd"/>
      <w:r w:rsidR="000C7120">
        <w:rPr>
          <w:b/>
          <w:color w:val="000000"/>
          <w:sz w:val="28"/>
          <w:szCs w:val="28"/>
        </w:rPr>
        <w:t xml:space="preserve">. Черниговка                            № </w:t>
      </w:r>
      <w:r>
        <w:rPr>
          <w:b/>
          <w:color w:val="000000"/>
          <w:sz w:val="28"/>
          <w:szCs w:val="28"/>
        </w:rPr>
        <w:t>67-па</w:t>
      </w:r>
      <w:r w:rsidR="000C7120">
        <w:rPr>
          <w:color w:val="000000"/>
          <w:sz w:val="28"/>
          <w:szCs w:val="28"/>
        </w:rPr>
        <w:br/>
      </w:r>
    </w:p>
    <w:p w:rsidR="000C7120" w:rsidRDefault="000C7120" w:rsidP="000C7120">
      <w:pPr>
        <w:jc w:val="center"/>
      </w:pPr>
    </w:p>
    <w:p w:rsidR="000C7120" w:rsidRDefault="000C7120" w:rsidP="000C7120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</w:tblGrid>
      <w:tr w:rsidR="000C7120" w:rsidTr="000C7120">
        <w:tc>
          <w:tcPr>
            <w:tcW w:w="4253" w:type="dxa"/>
            <w:hideMark/>
          </w:tcPr>
          <w:p w:rsidR="000C7120" w:rsidRDefault="000C7120">
            <w:pPr>
              <w:rPr>
                <w:rFonts w:eastAsia="Arial Unicode MS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 в  административный регламент по осуществлению муниципального жилищного контроля</w:t>
            </w:r>
          </w:p>
        </w:tc>
      </w:tr>
    </w:tbl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Жилищного Кодекса Российской Федерации,  Уставом Черниговского муниципального района </w:t>
      </w: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0C7120" w:rsidRDefault="000C7120" w:rsidP="000C7120">
      <w:pPr>
        <w:ind w:firstLine="690"/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widowControl w:val="0"/>
        <w:tabs>
          <w:tab w:val="left" w:pos="0"/>
        </w:tabs>
        <w:autoSpaceDE w:val="0"/>
        <w:spacing w:before="108" w:after="1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1.Внести в административный регламент по исполнению  муниципальной функции «Осуществление муниципального жилищного контроля на территории Черниговского муниципального района»,</w:t>
      </w:r>
      <w:r>
        <w:rPr>
          <w:rFonts w:eastAsia="WenQuanYi Micro Hei"/>
          <w:sz w:val="28"/>
          <w:szCs w:val="28"/>
          <w:lang w:eastAsia="hi-IN" w:bidi="hi-IN"/>
        </w:rPr>
        <w:t xml:space="preserve"> утвержденный Постановлением Администрации Черниговского района от 31.10.2019г. № 705-НПА, следующие изменения:</w:t>
      </w:r>
      <w:r>
        <w:rPr>
          <w:sz w:val="28"/>
          <w:szCs w:val="28"/>
        </w:rPr>
        <w:t xml:space="preserve"> 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1) абзац 2 пункта 3.2.5  Административного регламента изложить в следующей редакции: «</w:t>
      </w:r>
      <w:r w:rsidR="005B79E1"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>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деятельности»;</w:t>
      </w:r>
      <w:proofErr w:type="gramEnd"/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пункт 3.10.6. </w:t>
      </w:r>
      <w:r>
        <w:rPr>
          <w:sz w:val="28"/>
          <w:szCs w:val="28"/>
        </w:rPr>
        <w:t>Административного регламента дополнить абзацем следующего содержания: «П</w:t>
      </w:r>
      <w:r>
        <w:rPr>
          <w:sz w:val="28"/>
          <w:szCs w:val="28"/>
          <w:lang w:eastAsia="ru-RU"/>
        </w:rPr>
        <w:t xml:space="preserve">ри проведении проверки с использованием </w:t>
      </w:r>
      <w:r>
        <w:rPr>
          <w:sz w:val="28"/>
          <w:szCs w:val="28"/>
          <w:lang w:eastAsia="ru-RU"/>
        </w:rPr>
        <w:lastRenderedPageBreak/>
        <w:t>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проверки»;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3) пункт 3.10.7. </w:t>
      </w:r>
      <w:r>
        <w:rPr>
          <w:sz w:val="28"/>
          <w:szCs w:val="28"/>
        </w:rPr>
        <w:t xml:space="preserve">Административного регламента дополнить абзацем следующего содержания: </w:t>
      </w:r>
      <w:proofErr w:type="gramStart"/>
      <w:r>
        <w:rPr>
          <w:sz w:val="28"/>
          <w:szCs w:val="28"/>
        </w:rPr>
        <w:t>«П</w:t>
      </w:r>
      <w:r>
        <w:rPr>
          <w:sz w:val="28"/>
          <w:szCs w:val="28"/>
          <w:lang w:eastAsia="ru-RU"/>
        </w:rPr>
        <w:t>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>
        <w:rPr>
          <w:sz w:val="28"/>
          <w:szCs w:val="28"/>
          <w:lang w:eastAsia="ru-RU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лицом»;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4)  пункт 1.3 </w:t>
      </w:r>
      <w:r>
        <w:rPr>
          <w:sz w:val="28"/>
          <w:szCs w:val="28"/>
        </w:rPr>
        <w:t>Административного регламента изложить в новой редакции: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осуществление муниципального жилищного контроля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1.Конституция Российской Федерации от 12 декабря 1993 года: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Официальный текст Конституции РФ с внесенными поправками от 21.07.2014 опубликован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</w:t>
      </w:r>
      <w:proofErr w:type="gramStart"/>
      <w:r>
        <w:rPr>
          <w:sz w:val="28"/>
          <w:szCs w:val="28"/>
          <w:lang w:eastAsia="ru-RU"/>
        </w:rPr>
        <w:t>Официальном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интернет-портале</w:t>
      </w:r>
      <w:proofErr w:type="spellEnd"/>
      <w:r>
        <w:rPr>
          <w:sz w:val="28"/>
          <w:szCs w:val="28"/>
          <w:lang w:eastAsia="ru-RU"/>
        </w:rPr>
        <w:t xml:space="preserve"> правовой информации http://www.pravo.gov.ru, 01.08.2014,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"Собрании законодательства РФ", 04.08.2014, N 31, ст. 4398.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2.Гражданским кодексом Российской Федерации (первая часть - "Собрание законодательства РФ", (далее – ГК РФ):</w:t>
      </w:r>
      <w:proofErr w:type="gramEnd"/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"Собрание законодательства РФ", 05.12.1994, N 32, ст. 3301,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"Российская газета", N 238-239, 08.12.1994.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Жилищ</w:t>
      </w:r>
      <w:r w:rsidR="00DF704A">
        <w:rPr>
          <w:sz w:val="28"/>
          <w:szCs w:val="28"/>
        </w:rPr>
        <w:t>ный кодекс Российской Федерации:</w:t>
      </w:r>
    </w:p>
    <w:p w:rsidR="00DF704A" w:rsidRPr="00DF704A" w:rsidRDefault="00DF704A" w:rsidP="00DF704A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F704A">
        <w:rPr>
          <w:rFonts w:eastAsiaTheme="minorHAnsi"/>
          <w:bCs/>
          <w:sz w:val="28"/>
          <w:szCs w:val="28"/>
          <w:lang w:eastAsia="en-US"/>
        </w:rPr>
        <w:t>"Собрание законодательства РФ", 03.01.2005, N 1 (часть 1), ст. 14,</w:t>
      </w:r>
    </w:p>
    <w:p w:rsidR="00DF704A" w:rsidRPr="00DF704A" w:rsidRDefault="00DF704A" w:rsidP="00DF704A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F704A">
        <w:rPr>
          <w:rFonts w:eastAsiaTheme="minorHAnsi"/>
          <w:bCs/>
          <w:sz w:val="28"/>
          <w:szCs w:val="28"/>
          <w:lang w:eastAsia="en-US"/>
        </w:rPr>
        <w:t>"Российская газета", N 1, 12.01.2005,</w:t>
      </w:r>
    </w:p>
    <w:p w:rsidR="00DF704A" w:rsidRPr="00DF704A" w:rsidRDefault="00DF704A" w:rsidP="00DF704A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F704A">
        <w:rPr>
          <w:rFonts w:eastAsiaTheme="minorHAnsi"/>
          <w:bCs/>
          <w:sz w:val="28"/>
          <w:szCs w:val="28"/>
          <w:lang w:eastAsia="en-US"/>
        </w:rPr>
        <w:t>"Парламентская газета", N 7-8, 15.01.2005.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4.Кодексом Российской Федерации об административных правонарушениях (по мере наделений полномочий</w:t>
      </w:r>
      <w:r w:rsidR="005B79E1">
        <w:rPr>
          <w:sz w:val="28"/>
          <w:szCs w:val="28"/>
        </w:rPr>
        <w:t>).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"Российская газета", N 256, 31.12.2001,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"Парламентская газета", N 2-5, 05.01.2002,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"Собрание законодательства РФ", 07.01.2002, N 1 (ч. 1), ст. 1.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Федерации»: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"Парламентская газета", N 63, 27.11-03.12.2009,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"Российская газета", N 226, 27.11.2009,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"Собрание законодательства РФ", 30.11.2009, N 48, ст. 5711.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домов»: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"Собрание законодательства РФ", 30.05.2011, N 22, ст. 3168,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"Российская газета", N 116, 01.06.2011.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7.Приказ </w:t>
      </w:r>
      <w:proofErr w:type="spellStart"/>
      <w:r>
        <w:rPr>
          <w:sz w:val="28"/>
          <w:szCs w:val="28"/>
        </w:rPr>
        <w:t>Минкомсвязи</w:t>
      </w:r>
      <w:proofErr w:type="spellEnd"/>
      <w:r>
        <w:rPr>
          <w:sz w:val="28"/>
          <w:szCs w:val="28"/>
        </w:rPr>
        <w:t xml:space="preserve">  № 74 Минстроя РФ 114/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от 29.02.2016г.</w:t>
      </w:r>
    </w:p>
    <w:p w:rsidR="00DF704A" w:rsidRPr="00DF704A" w:rsidRDefault="00DF704A" w:rsidP="00DF704A">
      <w:pPr>
        <w:pStyle w:val="a6"/>
        <w:rPr>
          <w:rFonts w:eastAsiaTheme="minorHAnsi"/>
          <w:sz w:val="28"/>
          <w:szCs w:val="28"/>
          <w:lang w:eastAsia="en-US"/>
        </w:rPr>
      </w:pPr>
      <w:r w:rsidRPr="00DF704A">
        <w:rPr>
          <w:rFonts w:eastAsiaTheme="minorHAnsi"/>
          <w:sz w:val="28"/>
          <w:szCs w:val="28"/>
          <w:lang w:eastAsia="en-US"/>
        </w:rPr>
        <w:t>Официальный интернет-портал правовой информации http://www.pravo.gov.ru, 02.06.2016.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предпринимателей»: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"Собрание законодательства РФ", 12.07.2010, N 28, ст. 3706.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продолжительность:</w:t>
      </w:r>
      <w:proofErr w:type="gramEnd"/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"Собрание законодательства РФ", 21.08.2006, N 34, ст. 3680,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"Российская газета", N 184, 22.08.2006.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Постановлением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услуг»: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"Собрание законодательства РФ", 29.05.2006, N 22, ст. 2338,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"Российская газета", N 114, 31.05.2006.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реконструкции»: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"Собрание законодательства РФ", 06.02.2006, N 6, ст. 702,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"Российская газета", N 28, 10.02.2006.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12.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фонда»: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"Российская газета", N 214, 23.10.2003 (дополнительный выпуск)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13.Постановлением администрации Черниговского Муниципального района от 20.02.2015года № 255-па «О порядке организации и осуществления муниципального жилищного контроля на территории Черниговского муниципального района»;</w:t>
      </w:r>
    </w:p>
    <w:p w:rsidR="000C7120" w:rsidRDefault="000C7120" w:rsidP="000C712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14.Иными правовыми актами Российской Федерации, регламентирующими правоотношения в сфере жилищно-коммунального хозяйства (далее - ЖКХ) </w:t>
      </w:r>
      <w:r>
        <w:rPr>
          <w:sz w:val="28"/>
          <w:szCs w:val="28"/>
        </w:rPr>
        <w:lastRenderedPageBreak/>
        <w:t>при проведении проверок, принятие по их результатам мер, предусмотренных законодательством Российской Федерации.</w:t>
      </w:r>
    </w:p>
    <w:p w:rsidR="000C7120" w:rsidRDefault="000C7120" w:rsidP="000C712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5)  главу 3  </w:t>
      </w:r>
      <w:r>
        <w:rPr>
          <w:sz w:val="28"/>
          <w:szCs w:val="28"/>
        </w:rPr>
        <w:t>Административного регламента дополнить пунктом 3.11.8  следующего содержания: «</w:t>
      </w:r>
      <w:r>
        <w:rPr>
          <w:sz w:val="28"/>
          <w:szCs w:val="28"/>
          <w:lang w:eastAsia="ru-RU"/>
        </w:rPr>
        <w:t>В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proofErr w:type="gramStart"/>
      <w:r>
        <w:rPr>
          <w:sz w:val="28"/>
          <w:szCs w:val="28"/>
          <w:lang w:eastAsia="ru-RU"/>
        </w:rPr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муниципального контроля обязаны незамедлительно принять меры по недопущению причинения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>
        <w:rPr>
          <w:sz w:val="28"/>
          <w:szCs w:val="28"/>
          <w:lang w:eastAsia="ru-RU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</w:t>
      </w:r>
      <w:proofErr w:type="gramEnd"/>
      <w:r>
        <w:rPr>
          <w:sz w:val="28"/>
          <w:szCs w:val="28"/>
          <w:lang w:eastAsia="ru-RU"/>
        </w:rPr>
        <w:t xml:space="preserve"> угрозы причинения вреда и </w:t>
      </w:r>
      <w:proofErr w:type="gramStart"/>
      <w:r>
        <w:rPr>
          <w:sz w:val="28"/>
          <w:szCs w:val="28"/>
          <w:lang w:eastAsia="ru-RU"/>
        </w:rPr>
        <w:t>способах</w:t>
      </w:r>
      <w:proofErr w:type="gramEnd"/>
      <w:r>
        <w:rPr>
          <w:sz w:val="28"/>
          <w:szCs w:val="28"/>
          <w:lang w:eastAsia="ru-RU"/>
        </w:rPr>
        <w:t xml:space="preserve"> его предотвращения»;</w:t>
      </w:r>
    </w:p>
    <w:p w:rsidR="000C7120" w:rsidRDefault="000C7120" w:rsidP="000C7120">
      <w:pPr>
        <w:spacing w:line="100" w:lineRule="atLeast"/>
        <w:jc w:val="both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</w:rPr>
        <w:t xml:space="preserve">          2</w:t>
      </w:r>
      <w:r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. Настоящее постановление опубликовать в «Вестнике нормативных правовых актов Черниговского района» приложении к газете «Новое время», разместить на официальном сайте Черниговского района в сети «Интернет».</w:t>
      </w:r>
    </w:p>
    <w:p w:rsidR="000C7120" w:rsidRDefault="000C7120" w:rsidP="000C712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ервого заместителя главы администрации Черниговского района Климчук С.С.    </w:t>
      </w: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p w:rsidR="000C7120" w:rsidRDefault="000C7120" w:rsidP="000C71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                                                                                       </w:t>
      </w:r>
      <w:r w:rsidR="001A3D4D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В.Н. Сёмкин</w:t>
      </w:r>
    </w:p>
    <w:p w:rsidR="000C7120" w:rsidRDefault="000C7120" w:rsidP="000C71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Черниговского района                                       </w:t>
      </w:r>
    </w:p>
    <w:p w:rsidR="000C7120" w:rsidRDefault="000C7120" w:rsidP="000C7120">
      <w:pPr>
        <w:jc w:val="both"/>
        <w:rPr>
          <w:color w:val="000000"/>
          <w:sz w:val="28"/>
          <w:szCs w:val="28"/>
        </w:rPr>
      </w:pPr>
    </w:p>
    <w:sectPr w:rsidR="000C7120" w:rsidSect="001A3D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7120"/>
    <w:rsid w:val="00005994"/>
    <w:rsid w:val="000C7120"/>
    <w:rsid w:val="001A3D4D"/>
    <w:rsid w:val="0042030C"/>
    <w:rsid w:val="004A02EC"/>
    <w:rsid w:val="005B79E1"/>
    <w:rsid w:val="00621CCA"/>
    <w:rsid w:val="006671A6"/>
    <w:rsid w:val="007819B6"/>
    <w:rsid w:val="00B71742"/>
    <w:rsid w:val="00D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1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12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DF7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3C091C11106CE2CE7181E9928CB182ACF009EF19EE7EBB43429F3718D446785F22D2246A3B51DAD63415A9EE02ABFD076C881BDBFBA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1361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Земляная Елена</dc:creator>
  <cp:lastModifiedBy>Земляная Елена</cp:lastModifiedBy>
  <cp:revision>9</cp:revision>
  <cp:lastPrinted>2020-02-06T05:51:00Z</cp:lastPrinted>
  <dcterms:created xsi:type="dcterms:W3CDTF">2020-02-06T05:36:00Z</dcterms:created>
  <dcterms:modified xsi:type="dcterms:W3CDTF">2020-02-10T00:51:00Z</dcterms:modified>
</cp:coreProperties>
</file>