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76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244E9" w14:paraId="65A38419" w14:textId="77777777">
        <w:tc>
          <w:tcPr>
            <w:tcW w:w="4076" w:type="dxa"/>
          </w:tcPr>
          <w:p w14:paraId="3FCDD581" w14:textId="77777777" w:rsidR="006244E9" w:rsidRDefault="00D8335D" w:rsidP="006D64D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56F2443" w14:textId="77777777" w:rsidR="006D64DD" w:rsidRPr="006D64DD" w:rsidRDefault="006D64DD" w:rsidP="006D64DD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56847D45" w14:textId="1A715C14" w:rsidR="006244E9" w:rsidRDefault="00D8335D" w:rsidP="006D64D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</w:t>
            </w:r>
            <w:r w:rsidR="0040118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оординационного Совета по развитию малого и среднего предпринимательства при Главе Черниговского муниципального округа</w:t>
            </w:r>
          </w:p>
          <w:p w14:paraId="33C69DE1" w14:textId="7F47D400" w:rsidR="006244E9" w:rsidRDefault="00D8335D" w:rsidP="006D64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</w:t>
            </w:r>
            <w:r w:rsidR="0040118D">
              <w:rPr>
                <w:sz w:val="28"/>
                <w:szCs w:val="28"/>
              </w:rPr>
              <w:t>28.01.2025</w:t>
            </w:r>
            <w:r>
              <w:rPr>
                <w:sz w:val="28"/>
                <w:szCs w:val="28"/>
              </w:rPr>
              <w:t>_ № _</w:t>
            </w:r>
            <w:r w:rsidR="004011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__</w:t>
            </w:r>
          </w:p>
        </w:tc>
      </w:tr>
    </w:tbl>
    <w:p w14:paraId="4D0F983C" w14:textId="77777777" w:rsidR="006244E9" w:rsidRDefault="006244E9">
      <w:pPr>
        <w:ind w:firstLine="709"/>
        <w:jc w:val="center"/>
        <w:rPr>
          <w:sz w:val="28"/>
          <w:szCs w:val="28"/>
        </w:rPr>
      </w:pPr>
    </w:p>
    <w:p w14:paraId="6A5017E0" w14:textId="7F43056B" w:rsidR="006244E9" w:rsidRDefault="00D8335D">
      <w:pPr>
        <w:ind w:hanging="142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Доклад о результатах внедрения системы внутреннего обеспечения соответствия требованиям антимонопольного законодательства в администрации Черниговского </w:t>
      </w:r>
      <w:r w:rsidR="0040118D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Приморского края за 2024 год</w:t>
      </w:r>
    </w:p>
    <w:p w14:paraId="1DB0E3AA" w14:textId="77777777" w:rsidR="006244E9" w:rsidRDefault="0062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61AAAD4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Указом Президента Российской Федерации </w:t>
      </w:r>
      <w:r>
        <w:rPr>
          <w:sz w:val="28"/>
          <w:szCs w:val="28"/>
        </w:rPr>
        <w:br/>
        <w:t>от 21.12.2017 № 618 «Об основных направлениях государственной политики по развитию конкуренции» и Распоряжением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постановлением администрации Черниговского муниципального округа от 14.02.2024 № 176-па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Черниговского муниципального округа» администрацией Черниговского муниципального округа приняты меры, направленные на создание и организацию системы внутреннего обеспечения соответствия требованиям антимонопольного законодательства.</w:t>
      </w:r>
    </w:p>
    <w:p w14:paraId="68185816" w14:textId="77777777" w:rsidR="006244E9" w:rsidRDefault="00D8335D">
      <w:pPr>
        <w:widowControl w:val="0"/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Функции уполномоченного подразделения, связанные с организацией и функционированием антимонопольного комплаенса, распределялись в 2024 году между структурными подразделениями администрации: отделом экономики, правовым управлением и организационным управлением администрации (далее - уполномоченные подразделения).</w:t>
      </w:r>
    </w:p>
    <w:p w14:paraId="08F8325E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В ходе организации системы внутреннего обеспечения соответствия требованиям антимонопольного законодательства за отчётный период 2024 года уполномоченными подразделениями проведена следующая работа:</w:t>
      </w:r>
    </w:p>
    <w:p w14:paraId="34B0E29E" w14:textId="77777777" w:rsidR="006244E9" w:rsidRDefault="00D8335D">
      <w:pPr>
        <w:pStyle w:val="aff2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Черниговского муниципального округа от 14.02.2024 г. № 177-па «О реализации мероприятий по созданию и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Черниговского муниципального округа»</w:t>
      </w:r>
      <w:r>
        <w:t xml:space="preserve"> </w:t>
      </w:r>
      <w:r>
        <w:rPr>
          <w:sz w:val="28"/>
          <w:szCs w:val="28"/>
        </w:rPr>
        <w:t>утверждена Карта комплаенс-рисков администрации Черниговского муниципального округа на 2024 год, а также План мероприятий («дорожная карта») по снижению комплаенс – рисков администрации Черниговского муниципального округа  на 2024 год.</w:t>
      </w:r>
    </w:p>
    <w:p w14:paraId="00F29028" w14:textId="77777777" w:rsidR="006244E9" w:rsidRDefault="00D8335D">
      <w:pPr>
        <w:pStyle w:val="aff2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Указанное постановление размещено в сети интернет: </w:t>
      </w:r>
      <w:hyperlink r:id="rId6" w:tooltip="https://chernigovka.gosuslugi.ru/ofitsialno/dokumenty/dokumenty-all_9206.html" w:history="1">
        <w:r>
          <w:rPr>
            <w:rStyle w:val="af7"/>
            <w:sz w:val="28"/>
            <w:szCs w:val="28"/>
          </w:rPr>
          <w:t>https://chernigovka.gosuslugi.ru/ofitsialno/dokumenty/dokumenty-all_9206.html</w:t>
        </w:r>
      </w:hyperlink>
      <w:r>
        <w:rPr>
          <w:color w:val="000000"/>
          <w:sz w:val="28"/>
          <w:szCs w:val="28"/>
        </w:rPr>
        <w:t xml:space="preserve"> </w:t>
      </w:r>
    </w:p>
    <w:p w14:paraId="74911051" w14:textId="77777777" w:rsidR="006244E9" w:rsidRDefault="00D8335D">
      <w:pPr>
        <w:pStyle w:val="aff2"/>
        <w:spacing w:before="0" w:after="0" w:line="360" w:lineRule="auto"/>
        <w:ind w:firstLine="851"/>
        <w:jc w:val="both"/>
      </w:pPr>
      <w:r>
        <w:rPr>
          <w:sz w:val="28"/>
          <w:szCs w:val="28"/>
        </w:rPr>
        <w:t xml:space="preserve">2. Проведён анализ нарушений антимонопольного законодательства в деятельности администрации Черниговского муниципального </w:t>
      </w:r>
      <w:proofErr w:type="gramStart"/>
      <w:r>
        <w:rPr>
          <w:sz w:val="28"/>
          <w:szCs w:val="28"/>
        </w:rPr>
        <w:t>округа  за</w:t>
      </w:r>
      <w:proofErr w:type="gramEnd"/>
      <w:r>
        <w:rPr>
          <w:sz w:val="28"/>
          <w:szCs w:val="28"/>
        </w:rPr>
        <w:t xml:space="preserve"> 2024 год.</w:t>
      </w:r>
    </w:p>
    <w:p w14:paraId="7C2BDFB2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информацией, поступившей от Управления Федеральной антимонопольной службы по Приморскому </w:t>
      </w:r>
      <w:proofErr w:type="gramStart"/>
      <w:r>
        <w:rPr>
          <w:sz w:val="28"/>
          <w:szCs w:val="28"/>
        </w:rPr>
        <w:t>краю  за</w:t>
      </w:r>
      <w:proofErr w:type="gramEnd"/>
      <w:r>
        <w:rPr>
          <w:sz w:val="28"/>
          <w:szCs w:val="28"/>
        </w:rPr>
        <w:t xml:space="preserve"> 2024 год  администрации Черниговского муниципального округа направлено 1 предупреждение от 03.07.2024 г. о нарушении. Предупреждение исполнено 04.07.2024 г. </w:t>
      </w:r>
    </w:p>
    <w:p w14:paraId="3A31A72D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3. Анализ проектов нормативно-правовых актов администрации на предмет соответствия их антимонопольному законодательству осуществляется на постоянной основе в рамках проведения антикоррупционной экспертизы.</w:t>
      </w:r>
    </w:p>
    <w:p w14:paraId="1DE73866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Проекты нормативно-правовых размещаются на официальном сайте администрации Черниговского муниципального округа. Мониторинг и анализ применения администрацией антимонопольного законодательства проводится ежеквартально.</w:t>
      </w:r>
    </w:p>
    <w:p w14:paraId="4A6B6CBB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Замечания и предложения в отчетном периоде не поступали, в связи с чем, по итогам проведенного анализа нормативных правовых актов администрацией </w:t>
      </w:r>
      <w:r>
        <w:rPr>
          <w:sz w:val="28"/>
          <w:szCs w:val="28"/>
        </w:rPr>
        <w:lastRenderedPageBreak/>
        <w:t xml:space="preserve">Черниговского </w:t>
      </w:r>
      <w:bookmarkStart w:id="0" w:name="_Hlk188631626"/>
      <w:r>
        <w:rPr>
          <w:sz w:val="28"/>
          <w:szCs w:val="28"/>
        </w:rPr>
        <w:t xml:space="preserve">муниципального округа </w:t>
      </w:r>
      <w:bookmarkEnd w:id="0"/>
      <w:r>
        <w:rPr>
          <w:sz w:val="28"/>
          <w:szCs w:val="28"/>
        </w:rPr>
        <w:t>сделан вывод об их соответствии антимонопольному законодательству и о нецелесообразности внесения изменений в действующие нормативные правовые акты.</w:t>
      </w:r>
    </w:p>
    <w:p w14:paraId="16372D4F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Также была проведена процедура оценки регулирующего воздействия по 13 проектам нормативных правовых актов, проведена 1 экспертиза муниципального нормативного правового акта. В ходе публичных консультаций замечаний в части нарушений антимонопольного законодательства не поступало.</w:t>
      </w:r>
    </w:p>
    <w:p w14:paraId="5DD1EE56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4. Проведен мониторинг и анализ практики применения администрацией Черниговского муниципального округа антимонопольного законодательства.</w:t>
      </w:r>
    </w:p>
    <w:p w14:paraId="59B153C0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На постоянной основе осуществлялся сбор сведений о правоприменительной практике антимонопольного законодательства. </w:t>
      </w:r>
    </w:p>
    <w:p w14:paraId="02E6C5EB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5. Утверждена карта (паспорт) комплаенс – рисков, где определены основные риски нарушения антимонопольного законодательства в деятельности администрации Черниговского муниципального округа, а именно:</w:t>
      </w:r>
    </w:p>
    <w:p w14:paraId="6A4381B0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- нарушение антимонопольного законодательства при осуществлении закупок товаров, работ, услуг для обеспечения муниципальных нужд;</w:t>
      </w:r>
    </w:p>
    <w:p w14:paraId="3AD33B6B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- возникновение административных барьеров</w:t>
      </w:r>
      <w:r>
        <w:rPr>
          <w:rStyle w:val="WW8Num3z1"/>
          <w:sz w:val="28"/>
          <w:szCs w:val="28"/>
        </w:rPr>
        <w:t xml:space="preserve"> </w:t>
      </w:r>
      <w:r>
        <w:rPr>
          <w:rStyle w:val="26"/>
          <w:sz w:val="28"/>
          <w:szCs w:val="28"/>
        </w:rPr>
        <w:t>при предоставлении муниципальных услуг и выполнении функций муниципального контроля;</w:t>
      </w:r>
    </w:p>
    <w:p w14:paraId="549B59BA" w14:textId="77777777" w:rsidR="006244E9" w:rsidRDefault="00D83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антимонопольного законодательства при принятии нормативных правовых актов;</w:t>
      </w:r>
    </w:p>
    <w:p w14:paraId="66CE16F3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- нарушение антимонопольного законодательства при предоставлении финансовой, имущественной поддержки бизнесу;</w:t>
      </w:r>
    </w:p>
    <w:p w14:paraId="0B535514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>- нарушение установленного законодательством порядка предоставления муниципального имущества в аренду, безвозмездное пользование</w:t>
      </w:r>
      <w:r>
        <w:rPr>
          <w:rStyle w:val="26"/>
          <w:sz w:val="28"/>
          <w:szCs w:val="28"/>
        </w:rPr>
        <w:t>.</w:t>
      </w:r>
    </w:p>
    <w:p w14:paraId="16F389DB" w14:textId="77777777" w:rsidR="006244E9" w:rsidRDefault="00D83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утверждённому плану («Дорожная карта») по снижению комплаенс-рисков администрацией Черниговского муниципального округа за 2024 год проведены следующие мероприятия:</w:t>
      </w:r>
    </w:p>
    <w:p w14:paraId="17FC42C5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работники контрактной службы прошли профессиональную переподготовку по программам «Противодействие коррупции в бюджетном </w:t>
      </w:r>
      <w:r>
        <w:rPr>
          <w:sz w:val="28"/>
          <w:szCs w:val="28"/>
        </w:rPr>
        <w:lastRenderedPageBreak/>
        <w:t>учреждении», «Подготовка и аттестация контрактных управляющих на соответствие квалификации «Специалист - эксперт в сфере закупок», также прошли повышение квалификации по дополнительным профессиональным программам «Специалист в сфере закупок -2024» и др., также на регулярной основе участвовали в обучающих семинарах, проводимых Ассоциацией «Совет муниципальных образований Приморского края» в части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39A397C" w14:textId="77777777" w:rsidR="006244E9" w:rsidRDefault="00D83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снижению и устранению комплаенс-рисков выполнены. В 2024 году нарушений антимонопольного законодательства в сфере законодательства Российской Федерации о контрактной системе в сфере закупок со стороны администрации Черниговского МО не выявлено;</w:t>
      </w:r>
    </w:p>
    <w:p w14:paraId="0E9C338D" w14:textId="77777777" w:rsidR="006244E9" w:rsidRDefault="00D8335D">
      <w:pPr>
        <w:widowControl w:val="0"/>
        <w:spacing w:line="360" w:lineRule="auto"/>
        <w:ind w:right="141"/>
        <w:jc w:val="both"/>
        <w:rPr>
          <w:rFonts w:eastAsia="DejaVu Sans;Yu Gothic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</w:t>
      </w:r>
      <w:r>
        <w:rPr>
          <w:rFonts w:eastAsia="DejaVu Sans;Yu Gothic"/>
          <w:sz w:val="28"/>
          <w:szCs w:val="28"/>
          <w:lang w:bidi="hi-IN"/>
        </w:rPr>
        <w:t xml:space="preserve">- проведен анализ нарушений антимонопольного законодательства в деятельности организационного отдела администрации Черниговского </w:t>
      </w:r>
      <w:r>
        <w:rPr>
          <w:sz w:val="28"/>
          <w:szCs w:val="28"/>
        </w:rPr>
        <w:t>муниципального округа</w:t>
      </w:r>
      <w:r>
        <w:rPr>
          <w:rFonts w:eastAsia="DejaVu Sans;Yu Gothic"/>
          <w:sz w:val="28"/>
          <w:szCs w:val="28"/>
          <w:lang w:bidi="hi-IN"/>
        </w:rPr>
        <w:t xml:space="preserve"> за предыдущие три года, а также анализ правовых актов (НПА) на предмет наличия рисков нарушений антимонопольного законодательства, результат - предостережений, предупреждений, жалоб, штрафов от контролирующих органов нет. Замечаний и предложений по перечню и тексту проектов правовых актов, размещенных на официальном сайте администрации Черниговского муниципального округа, от организаций и граждан в 2024 году не поступало. Все НПА также направляются на антикоррупционную проверку в прокуратуру Черниговского района - замечаний, предупреждений, нарушений в 2024 году не было. Конфликта интересов в деятельности муниципальных служащих организационного отдела администрации Черниговского муниципального округа в 2024 году не выявлено;</w:t>
      </w:r>
    </w:p>
    <w:p w14:paraId="1972521C" w14:textId="77777777" w:rsidR="006244E9" w:rsidRDefault="00D8335D">
      <w:pPr>
        <w:widowControl w:val="0"/>
        <w:spacing w:line="360" w:lineRule="auto"/>
        <w:ind w:right="141"/>
        <w:jc w:val="both"/>
        <w:rPr>
          <w:rFonts w:eastAsia="DejaVu Sans;Yu Gothic"/>
          <w:sz w:val="24"/>
          <w:szCs w:val="24"/>
          <w:lang w:bidi="hi-IN"/>
        </w:rPr>
      </w:pPr>
      <w:r>
        <w:rPr>
          <w:rFonts w:eastAsia="DejaVu Sans;Yu Gothic"/>
          <w:sz w:val="28"/>
          <w:szCs w:val="28"/>
          <w:lang w:bidi="hi-IN"/>
        </w:rPr>
        <w:tab/>
        <w:t xml:space="preserve"> - систематически проводилась оценка эффективности разработанных и реализуемых мероприятий по снижению рисков нарушения антимонопольного законодательства и сбор сведений о правоприменительной практике;</w:t>
      </w:r>
    </w:p>
    <w:p w14:paraId="51C4C441" w14:textId="77777777" w:rsidR="006244E9" w:rsidRDefault="00D8335D">
      <w:pPr>
        <w:widowControl w:val="0"/>
        <w:spacing w:line="360" w:lineRule="auto"/>
        <w:jc w:val="both"/>
      </w:pPr>
      <w:r>
        <w:rPr>
          <w:rFonts w:eastAsia="DejaVu Sans;Yu Gothic"/>
          <w:sz w:val="28"/>
          <w:szCs w:val="28"/>
          <w:lang w:bidi="hi-IN"/>
        </w:rPr>
        <w:tab/>
        <w:t xml:space="preserve">- в 2024 году прошли обучение по программе профилактики </w:t>
      </w:r>
      <w:r>
        <w:rPr>
          <w:rFonts w:eastAsia="DejaVu Sans;Yu Gothic"/>
          <w:sz w:val="28"/>
          <w:szCs w:val="28"/>
          <w:lang w:bidi="hi-IN"/>
        </w:rPr>
        <w:lastRenderedPageBreak/>
        <w:t>антикоррупционных правонарушений и антимонопольного законодательства 7 муниципальных служащих администрации Черниговского муниципального округа;</w:t>
      </w:r>
    </w:p>
    <w:p w14:paraId="04A9C16A" w14:textId="77777777" w:rsidR="006244E9" w:rsidRDefault="00D8335D">
      <w:pPr>
        <w:widowControl w:val="0"/>
        <w:spacing w:line="360" w:lineRule="auto"/>
        <w:jc w:val="both"/>
      </w:pPr>
      <w:r>
        <w:rPr>
          <w:sz w:val="28"/>
          <w:szCs w:val="28"/>
          <w:lang w:bidi="hi-IN"/>
        </w:rPr>
        <w:t xml:space="preserve">           </w:t>
      </w:r>
      <w:r>
        <w:rPr>
          <w:rFonts w:eastAsia="DejaVu Sans;Yu Gothic"/>
          <w:sz w:val="28"/>
          <w:szCs w:val="28"/>
          <w:lang w:bidi="hi-IN"/>
        </w:rPr>
        <w:t>- отделом земельных и имущественных отношений администрации Черниговского муниципального округа проведен анализ практики применения действующих НПА, определяющих порядок предоставления муниципального имущества в аренду, безвозмездное пользование – нарушения не выявлены;</w:t>
      </w:r>
    </w:p>
    <w:p w14:paraId="7F6DC423" w14:textId="77777777" w:rsidR="006244E9" w:rsidRDefault="00D8335D">
      <w:pPr>
        <w:widowControl w:val="0"/>
        <w:spacing w:line="360" w:lineRule="auto"/>
        <w:jc w:val="both"/>
        <w:rPr>
          <w:rFonts w:eastAsia="DejaVu Sans;Yu Gothic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 </w:t>
      </w:r>
      <w:r>
        <w:rPr>
          <w:rFonts w:eastAsia="DejaVu Sans;Yu Gothic"/>
          <w:sz w:val="28"/>
          <w:szCs w:val="28"/>
          <w:lang w:bidi="hi-IN"/>
        </w:rPr>
        <w:t>- проведен внутренний контроль за соблюдением антимонопольного законодательства в сфере распоряжения муниципальным имуществом – нарушения не выявлены.</w:t>
      </w:r>
      <w:r>
        <w:rPr>
          <w:sz w:val="28"/>
          <w:szCs w:val="28"/>
        </w:rPr>
        <w:t xml:space="preserve"> Мероприятия </w:t>
      </w:r>
      <w:r>
        <w:rPr>
          <w:rFonts w:eastAsia="DejaVu Sans;Yu Gothic"/>
          <w:sz w:val="28"/>
          <w:szCs w:val="28"/>
          <w:lang w:bidi="hi-IN"/>
        </w:rPr>
        <w:t xml:space="preserve">для предотвращения нарушений антимонопольного законодательства при предоставлении финансовой, имущественной поддержки бизнесу (незаконное предоставление поддержки, незаконный отказ в предоставлении поддержки) проводились на постоянной основе. </w:t>
      </w:r>
    </w:p>
    <w:p w14:paraId="310A819B" w14:textId="77777777" w:rsidR="006244E9" w:rsidRDefault="00D8335D">
      <w:pPr>
        <w:widowControl w:val="0"/>
        <w:spacing w:line="360" w:lineRule="auto"/>
        <w:jc w:val="both"/>
        <w:rPr>
          <w:rFonts w:eastAsia="DejaVu Sans;Yu Gothic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</w:t>
      </w:r>
      <w:r>
        <w:rPr>
          <w:rFonts w:eastAsia="DejaVu Sans;Yu Gothic"/>
          <w:sz w:val="28"/>
          <w:szCs w:val="28"/>
          <w:lang w:bidi="hi-IN"/>
        </w:rPr>
        <w:t>В результате проведенных мероприятий в рамках муниципального контроля проведена работа по нарушениям в сфере земельного законодательства. Проведены профилактические мероприятия и консультации контролируемых лиц.</w:t>
      </w:r>
    </w:p>
    <w:p w14:paraId="7B1AD9C4" w14:textId="77777777" w:rsidR="006244E9" w:rsidRDefault="00D8335D">
      <w:pPr>
        <w:widowControl w:val="0"/>
        <w:spacing w:line="360" w:lineRule="auto"/>
        <w:jc w:val="both"/>
      </w:pPr>
      <w:r>
        <w:rPr>
          <w:sz w:val="28"/>
          <w:szCs w:val="28"/>
          <w:lang w:bidi="hi-IN"/>
        </w:rPr>
        <w:t xml:space="preserve">          </w:t>
      </w:r>
      <w:r>
        <w:rPr>
          <w:sz w:val="28"/>
          <w:szCs w:val="28"/>
        </w:rPr>
        <w:t>Мероприятия «Дорожной карты» по снижению комплаенс-рисков исполнялись в течение года на постоянной основе.</w:t>
      </w:r>
    </w:p>
    <w:p w14:paraId="502138D3" w14:textId="77777777" w:rsidR="006244E9" w:rsidRDefault="00D83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 основании положения об антимонопольном комплаенсе проведена оценка значений ключевых показателей за 2024 год на предмет достижения результатов, установленных постановлением администрации от 14.02.2024 № 178-па «</w:t>
      </w:r>
      <w:r>
        <w:rPr>
          <w:bCs/>
          <w:sz w:val="28"/>
          <w:szCs w:val="28"/>
        </w:rPr>
        <w:t>Об утверждении перечня и методики расчета ключевых показателей эффективности антимонопольного комплаенса в администрации Черниговского</w:t>
      </w:r>
      <w:r>
        <w:rPr>
          <w:sz w:val="28"/>
          <w:szCs w:val="28"/>
        </w:rPr>
        <w:t xml:space="preserve"> муниципального округа», по результатам которой установлено следующее:</w:t>
      </w:r>
    </w:p>
    <w:p w14:paraId="258DE3FA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доля проектов нормативных правовых актов </w:t>
      </w:r>
      <w:bookmarkStart w:id="1" w:name="_Hlk188633653"/>
      <w:r>
        <w:rPr>
          <w:color w:val="000000"/>
          <w:sz w:val="28"/>
          <w:szCs w:val="28"/>
          <w:shd w:val="clear" w:color="auto" w:fill="FFFFFF"/>
        </w:rPr>
        <w:t>администрации Черниговского муниципального округа, в которых выявлены риски нарушения антимонопольного законодательства равно нулю</w:t>
      </w:r>
      <w:bookmarkEnd w:id="1"/>
      <w:r>
        <w:rPr>
          <w:sz w:val="28"/>
          <w:szCs w:val="28"/>
        </w:rPr>
        <w:t>;</w:t>
      </w:r>
    </w:p>
    <w:p w14:paraId="4F6FA1D2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- доля нормативных правовых актов, администрации Черниговского муниципального округа, в которых выявлены риски нарушения антимонопольного законодательства равно нулю;</w:t>
      </w:r>
    </w:p>
    <w:p w14:paraId="089FD161" w14:textId="77777777" w:rsidR="006244E9" w:rsidRDefault="00D8335D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коэффициент снижения количества нарушений антимонопольного законодательства со стороны администрации Черниговского муниципального округа равен 0.  В отчетном 2024 году года (вынесено 1 предупреждение, которое устранено), в 2023 году нарушений не было</w:t>
      </w:r>
      <w:r>
        <w:rPr>
          <w:sz w:val="28"/>
          <w:szCs w:val="28"/>
        </w:rPr>
        <w:t>.</w:t>
      </w:r>
    </w:p>
    <w:p w14:paraId="763032C7" w14:textId="77777777" w:rsidR="006244E9" w:rsidRDefault="00D8335D">
      <w:pPr>
        <w:spacing w:line="360" w:lineRule="auto"/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t xml:space="preserve">2024 году эффективность функционирования системы внутреннего обеспечения соответствия деятельности администрации Черниговского муниципального округа требованиям антимонопольного законодательства оценена </w:t>
      </w:r>
      <w:proofErr w:type="gramStart"/>
      <w:r>
        <w:rPr>
          <w:sz w:val="28"/>
          <w:szCs w:val="28"/>
          <w:highlight w:val="white"/>
        </w:rPr>
        <w:t>как  высокая</w:t>
      </w:r>
      <w:proofErr w:type="gramEnd"/>
      <w:r>
        <w:rPr>
          <w:sz w:val="28"/>
          <w:szCs w:val="28"/>
          <w:highlight w:val="white"/>
        </w:rPr>
        <w:t>.</w:t>
      </w:r>
    </w:p>
    <w:p w14:paraId="3218F381" w14:textId="77777777" w:rsidR="006244E9" w:rsidRDefault="00D8335D">
      <w:pPr>
        <w:spacing w:line="360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Все организационно-методические мероприятия по внедрению системы антимонопольного комплаенса в администрации Черниговского муниципального округа выполнены в полном объеме.</w:t>
      </w:r>
    </w:p>
    <w:p w14:paraId="02427568" w14:textId="77777777" w:rsidR="006244E9" w:rsidRDefault="006244E9">
      <w:pPr>
        <w:spacing w:line="360" w:lineRule="auto"/>
        <w:ind w:firstLine="709"/>
        <w:jc w:val="both"/>
      </w:pPr>
    </w:p>
    <w:sectPr w:rsidR="006244E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F476" w14:textId="77777777" w:rsidR="006244E9" w:rsidRDefault="00D8335D">
      <w:r>
        <w:separator/>
      </w:r>
    </w:p>
  </w:endnote>
  <w:endnote w:type="continuationSeparator" w:id="0">
    <w:p w14:paraId="15E94FB8" w14:textId="77777777" w:rsidR="006244E9" w:rsidRDefault="00D8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Times New Roman">
    <w:altName w:val="Calibri"/>
    <w:charset w:val="00"/>
    <w:family w:val="auto"/>
    <w:pitch w:val="default"/>
  </w:font>
  <w:font w:name="DejaVu Sans;Yu Gothi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E300" w14:textId="77777777" w:rsidR="006244E9" w:rsidRDefault="00D8335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 wp14:anchorId="1428C6D9" wp14:editId="7B6136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87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B68DAF4" w14:textId="77777777" w:rsidR="006244E9" w:rsidRDefault="006244E9">
                          <w:pPr>
                            <w:pStyle w:val="ad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8C6D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25pt;height:11.5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" o:allowincell="f" stroked="f">
              <v:fill opacity="0"/>
              <v:textbox inset=".05pt,.05pt,.05pt,.05pt">
                <w:txbxContent>
                  <w:p w14:paraId="5B68DAF4" w14:textId="77777777" w:rsidR="006244E9" w:rsidRDefault="006244E9">
                    <w:pPr>
                      <w:pStyle w:val="ad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5A67" w14:textId="77777777" w:rsidR="006244E9" w:rsidRDefault="006244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33A4" w14:textId="77777777" w:rsidR="006244E9" w:rsidRDefault="00D8335D">
      <w:r>
        <w:separator/>
      </w:r>
    </w:p>
  </w:footnote>
  <w:footnote w:type="continuationSeparator" w:id="0">
    <w:p w14:paraId="0F60ED7A" w14:textId="77777777" w:rsidR="006244E9" w:rsidRDefault="00D8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AAB5" w14:textId="77777777" w:rsidR="006244E9" w:rsidRDefault="00D8335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23D1BBBF" w14:textId="77777777" w:rsidR="006244E9" w:rsidRDefault="006244E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4C87" w14:textId="77777777" w:rsidR="006244E9" w:rsidRDefault="006244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E9"/>
    <w:rsid w:val="0040118D"/>
    <w:rsid w:val="006244E9"/>
    <w:rsid w:val="006D032D"/>
    <w:rsid w:val="006D64DD"/>
    <w:rsid w:val="008F0A56"/>
    <w:rsid w:val="00D22027"/>
    <w:rsid w:val="00D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78B7"/>
  <w15:docId w15:val="{E20EB441-D68F-4D2F-9A06-C8BFBDCA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14">
    <w:name w:val="Основной шрифт абзаца1"/>
    <w:qFormat/>
  </w:style>
  <w:style w:type="character" w:styleId="af7">
    <w:name w:val="Hyperlink"/>
    <w:rPr>
      <w:color w:val="0000FF"/>
      <w:u w:val="single"/>
    </w:rPr>
  </w:style>
  <w:style w:type="character" w:styleId="af8">
    <w:name w:val="page number"/>
    <w:basedOn w:val="14"/>
  </w:style>
  <w:style w:type="character" w:customStyle="1" w:styleId="af9">
    <w:name w:val="Верхний колонтитул Знак"/>
    <w:qFormat/>
    <w:rPr>
      <w:lang w:val="ru-RU" w:bidi="ar-SA"/>
    </w:rPr>
  </w:style>
  <w:style w:type="character" w:customStyle="1" w:styleId="25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33">
    <w:name w:val="Основной текст с отступом 3 Знак"/>
    <w:qFormat/>
    <w:rPr>
      <w:sz w:val="16"/>
      <w:szCs w:val="16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styleId="afa">
    <w:name w:val="Unresolved Mention"/>
    <w:qFormat/>
    <w:rPr>
      <w:color w:val="605E5C"/>
      <w:shd w:val="clear" w:color="auto" w:fill="E1DFDD"/>
    </w:rPr>
  </w:style>
  <w:style w:type="character" w:styleId="afb">
    <w:name w:val="FollowedHyperlink"/>
    <w:rPr>
      <w:color w:val="954F72"/>
      <w:u w:val="single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eastAsia="Tahoma" w:cs="FreeSans;Times New Roman"/>
      <w:sz w:val="28"/>
      <w:szCs w:val="28"/>
    </w:rPr>
  </w:style>
  <w:style w:type="paragraph" w:styleId="afc">
    <w:name w:val="Body Text"/>
    <w:basedOn w:val="a"/>
    <w:pPr>
      <w:jc w:val="center"/>
    </w:pPr>
    <w:rPr>
      <w:sz w:val="22"/>
      <w:szCs w:val="22"/>
      <w:lang w:val="en-US"/>
    </w:rPr>
  </w:style>
  <w:style w:type="paragraph" w:styleId="afd">
    <w:name w:val="List"/>
    <w:basedOn w:val="afc"/>
    <w:rPr>
      <w:rFonts w:cs="FreeSans;Times New Roman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">
    <w:name w:val="Указатель1"/>
    <w:basedOn w:val="a"/>
    <w:qFormat/>
    <w:pPr>
      <w:suppressLineNumbers/>
    </w:pPr>
    <w:rPr>
      <w:rFonts w:cs="FreeSans;Times New Roman"/>
    </w:rPr>
  </w:style>
  <w:style w:type="paragraph" w:customStyle="1" w:styleId="caaieiaie1">
    <w:name w:val="caaieiaie 1"/>
    <w:basedOn w:val="a"/>
    <w:next w:val="a"/>
    <w:qFormat/>
    <w:pPr>
      <w:keepNext/>
      <w:ind w:firstLine="851"/>
      <w:jc w:val="center"/>
    </w:pPr>
    <w:rPr>
      <w:sz w:val="32"/>
      <w:szCs w:val="32"/>
    </w:rPr>
  </w:style>
  <w:style w:type="paragraph" w:customStyle="1" w:styleId="caaieiaie2">
    <w:name w:val="caaieiaie 2"/>
    <w:basedOn w:val="a"/>
    <w:next w:val="a"/>
    <w:qFormat/>
    <w:pPr>
      <w:keepNext/>
      <w:jc w:val="center"/>
    </w:pPr>
    <w:rPr>
      <w:b/>
      <w:bCs/>
      <w:sz w:val="36"/>
      <w:szCs w:val="36"/>
    </w:rPr>
  </w:style>
  <w:style w:type="paragraph" w:customStyle="1" w:styleId="caaieiaie3">
    <w:name w:val="caaieiaie 3"/>
    <w:basedOn w:val="a"/>
    <w:next w:val="a"/>
    <w:qFormat/>
    <w:pPr>
      <w:keepNext/>
      <w:ind w:firstLine="1134"/>
    </w:pPr>
    <w:rPr>
      <w:sz w:val="28"/>
      <w:szCs w:val="28"/>
    </w:rPr>
  </w:style>
  <w:style w:type="paragraph" w:customStyle="1" w:styleId="caaieiaie4">
    <w:name w:val="caaieiaie 4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caaieiaie5">
    <w:name w:val="caaieiaie 5"/>
    <w:basedOn w:val="a"/>
    <w:next w:val="a"/>
    <w:qFormat/>
    <w:pPr>
      <w:keepNext/>
      <w:jc w:val="both"/>
    </w:pPr>
    <w:rPr>
      <w:sz w:val="28"/>
      <w:szCs w:val="28"/>
    </w:rPr>
  </w:style>
  <w:style w:type="paragraph" w:customStyle="1" w:styleId="caaieiaie6">
    <w:name w:val="caaieiaie 6"/>
    <w:basedOn w:val="a"/>
    <w:next w:val="a"/>
    <w:qFormat/>
    <w:pPr>
      <w:keepNext/>
      <w:jc w:val="center"/>
    </w:pPr>
    <w:rPr>
      <w:sz w:val="24"/>
      <w:szCs w:val="24"/>
    </w:rPr>
  </w:style>
  <w:style w:type="paragraph" w:customStyle="1" w:styleId="caaieiaie7">
    <w:name w:val="caaieiaie 7"/>
    <w:basedOn w:val="a"/>
    <w:next w:val="a"/>
    <w:qFormat/>
    <w:pPr>
      <w:keepNext/>
    </w:pPr>
    <w:rPr>
      <w:sz w:val="28"/>
      <w:szCs w:val="28"/>
      <w:lang w:val="en-US"/>
    </w:rPr>
  </w:style>
  <w:style w:type="paragraph" w:customStyle="1" w:styleId="niiaiieoaeno">
    <w:name w:val="niiaiie oaeno"/>
    <w:basedOn w:val="a"/>
    <w:qFormat/>
    <w:pPr>
      <w:jc w:val="center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qFormat/>
    <w:rPr>
      <w:b/>
      <w:bCs/>
      <w:lang w:val="en-US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customStyle="1" w:styleId="72">
    <w:name w:val="заголовок 7"/>
    <w:basedOn w:val="a"/>
    <w:next w:val="a"/>
    <w:qFormat/>
    <w:pPr>
      <w:keepNext/>
    </w:pPr>
    <w:rPr>
      <w:sz w:val="28"/>
      <w:szCs w:val="28"/>
      <w:lang w:val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27">
    <w:name w:val="Основной текст (2)"/>
    <w:basedOn w:val="a"/>
    <w:qFormat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paragraph" w:customStyle="1" w:styleId="16">
    <w:name w:val="Знак Знак1 Знак 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2">
    <w:name w:val="Обычный (веб)"/>
    <w:basedOn w:val="a"/>
    <w:qFormat/>
    <w:pPr>
      <w:spacing w:before="100" w:after="100"/>
    </w:pPr>
    <w:rPr>
      <w:sz w:val="24"/>
      <w:szCs w:val="24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igovka.gosuslugi.ru/ofitsialno/dokumenty/dokumenty-all_9206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1488</Words>
  <Characters>8488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galamay</dc:creator>
  <cp:keywords/>
  <dc:description/>
  <cp:lastModifiedBy>user</cp:lastModifiedBy>
  <cp:revision>4</cp:revision>
  <dcterms:created xsi:type="dcterms:W3CDTF">2025-01-28T00:39:00Z</dcterms:created>
  <dcterms:modified xsi:type="dcterms:W3CDTF">2025-01-29T23:47:00Z</dcterms:modified>
  <dc:language>en-US</dc:language>
</cp:coreProperties>
</file>